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939C" w14:textId="3D3BB839" w:rsidR="00DE5260" w:rsidRPr="00DE5260" w:rsidRDefault="00DE5260" w:rsidP="00DE5260">
      <w:pPr>
        <w:pStyle w:val="NormalWeb"/>
        <w:rPr>
          <w:rFonts w:ascii="Century Gothic" w:hAnsi="Century Gothic" w:cstheme="minorHAnsi"/>
        </w:rPr>
      </w:pPr>
      <w:r w:rsidRPr="00A86C43">
        <w:rPr>
          <w:rFonts w:ascii="Century Gothic" w:hAnsi="Century Gothic" w:cstheme="minorHAnsi"/>
        </w:rPr>
        <w:t xml:space="preserve">Some of the key fee increases for </w:t>
      </w:r>
      <w:r w:rsidRPr="00A86C43">
        <w:rPr>
          <w:rFonts w:ascii="Century Gothic" w:hAnsi="Century Gothic" w:cstheme="minorHAnsi"/>
          <w:b/>
          <w:bCs/>
          <w:i/>
          <w:iCs/>
        </w:rPr>
        <w:t>applications made outside the UK</w:t>
      </w:r>
      <w:r w:rsidRPr="00A86C43">
        <w:rPr>
          <w:rFonts w:ascii="Century Gothic" w:hAnsi="Century Gothic" w:cstheme="minorHAnsi"/>
        </w:rPr>
        <w:t xml:space="preserve"> are listed below.  Fees are also being increased for </w:t>
      </w:r>
      <w:hyperlink r:id="rId4" w:anchor="work--applications-made-in-the-uk" w:history="1">
        <w:r w:rsidRPr="00A86C43">
          <w:rPr>
            <w:rStyle w:val="Hyperlink"/>
            <w:rFonts w:ascii="Century Gothic" w:eastAsiaTheme="majorEastAsia" w:hAnsi="Century Gothic" w:cstheme="minorHAnsi"/>
            <w:color w:val="auto"/>
          </w:rPr>
          <w:t>in-country applications</w:t>
        </w:r>
      </w:hyperlink>
      <w:r w:rsidRPr="00A86C43">
        <w:rPr>
          <w:rFonts w:ascii="Century Gothic" w:hAnsi="Century Gothic" w:cstheme="minorHAnsi"/>
        </w:rPr>
        <w:t>.</w:t>
      </w:r>
    </w:p>
    <w:p w14:paraId="2838C9FE" w14:textId="20C49FD6" w:rsidR="00DE5260" w:rsidRPr="00A86C43" w:rsidRDefault="00DE5260" w:rsidP="00DE5260">
      <w:pPr>
        <w:pStyle w:val="BodyText"/>
        <w:rPr>
          <w:rFonts w:ascii="Century Gothic" w:hAnsi="Century Gothic"/>
          <w:b/>
          <w:bCs/>
        </w:rPr>
      </w:pPr>
      <w:r w:rsidRPr="00A86C43">
        <w:rPr>
          <w:rFonts w:ascii="Century Gothic" w:hAnsi="Century Gothic"/>
          <w:b/>
          <w:bCs/>
        </w:rPr>
        <w:t>Visit - applications made outside the UK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1838"/>
        <w:gridCol w:w="2293"/>
      </w:tblGrid>
      <w:tr w:rsidR="00DE5260" w:rsidRPr="00A86C43" w14:paraId="4F7947DE" w14:textId="77777777" w:rsidTr="00123F8D">
        <w:trPr>
          <w:trHeight w:val="656"/>
          <w:tblHeader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5A9EC6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2DF81D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Current fee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385CF9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 from 9 April 2025</w:t>
            </w:r>
          </w:p>
        </w:tc>
      </w:tr>
      <w:tr w:rsidR="00DE5260" w:rsidRPr="00A86C43" w14:paraId="7B7D7AAB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AC6FE1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Visit visa – up to 6 months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F0EAE8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£115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149E90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£127</w:t>
            </w:r>
          </w:p>
        </w:tc>
      </w:tr>
      <w:tr w:rsidR="00DE5260" w:rsidRPr="00A86C43" w14:paraId="6A52564F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7D7FD1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Visit visa – up to 2 years  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4161946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£432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ED4872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£475</w:t>
            </w:r>
          </w:p>
        </w:tc>
      </w:tr>
      <w:tr w:rsidR="00DE5260" w:rsidRPr="00A86C43" w14:paraId="1E210080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3C5FEDF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Visit visa – up to 5 years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DCF999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£771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044E56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£848</w:t>
            </w:r>
          </w:p>
        </w:tc>
      </w:tr>
      <w:tr w:rsidR="00DE5260" w:rsidRPr="00A86C43" w14:paraId="3EC0F61C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31CF9F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Visit visa – up to 10 years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9ADDC1C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£963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DE1E95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£1059</w:t>
            </w:r>
          </w:p>
        </w:tc>
      </w:tr>
      <w:tr w:rsidR="00DE5260" w:rsidRPr="00A86C43" w14:paraId="206F8A1F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AE6BA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Transit visa (direct airside transit)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D6503E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£35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75419D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£39</w:t>
            </w:r>
          </w:p>
        </w:tc>
      </w:tr>
      <w:tr w:rsidR="00DE5260" w:rsidRPr="00A86C43" w14:paraId="11CEA8F7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212924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Transit </w:t>
            </w:r>
            <w:proofErr w:type="gramStart"/>
            <w:r w:rsidRPr="00A86C43">
              <w:rPr>
                <w:rFonts w:ascii="Century Gothic" w:hAnsi="Century Gothic" w:cstheme="minorHAnsi"/>
                <w:sz w:val="21"/>
                <w:szCs w:val="21"/>
              </w:rPr>
              <w:t>visit</w:t>
            </w:r>
            <w:proofErr w:type="gramEnd"/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 visa (landside transit)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D820DB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£64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15555F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£70</w:t>
            </w:r>
          </w:p>
        </w:tc>
      </w:tr>
      <w:tr w:rsidR="00DE5260" w:rsidRPr="00A86C43" w14:paraId="1E0EABC4" w14:textId="77777777" w:rsidTr="00123F8D">
        <w:trPr>
          <w:trHeight w:val="20"/>
        </w:trPr>
        <w:tc>
          <w:tcPr>
            <w:tcW w:w="4820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034B7D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Electronic travel authorisation (ETA)</w:t>
            </w:r>
          </w:p>
        </w:tc>
        <w:tc>
          <w:tcPr>
            <w:tcW w:w="183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17E729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£10</w:t>
            </w:r>
          </w:p>
        </w:tc>
        <w:tc>
          <w:tcPr>
            <w:tcW w:w="229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AFF453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£16</w:t>
            </w:r>
          </w:p>
        </w:tc>
      </w:tr>
    </w:tbl>
    <w:p w14:paraId="33E049CF" w14:textId="77777777" w:rsidR="00DE5260" w:rsidRPr="00A86C43" w:rsidRDefault="00DE5260" w:rsidP="00DE5260">
      <w:pPr>
        <w:spacing w:after="300"/>
        <w:outlineLvl w:val="1"/>
        <w:rPr>
          <w:rFonts w:ascii="Century Gothic" w:hAnsi="Century Gothic" w:cs="Arial"/>
          <w:b/>
          <w:bCs/>
          <w:sz w:val="36"/>
          <w:szCs w:val="36"/>
        </w:rPr>
      </w:pPr>
    </w:p>
    <w:p w14:paraId="3E7C483E" w14:textId="77777777" w:rsidR="00DE5260" w:rsidRPr="00A86C43" w:rsidRDefault="00DE5260" w:rsidP="00DE5260">
      <w:pPr>
        <w:spacing w:after="300"/>
        <w:outlineLvl w:val="1"/>
        <w:rPr>
          <w:rFonts w:ascii="Century Gothic" w:hAnsi="Century Gothic" w:cs="Arial"/>
          <w:b/>
          <w:bCs/>
          <w:sz w:val="36"/>
          <w:szCs w:val="36"/>
        </w:rPr>
      </w:pPr>
    </w:p>
    <w:p w14:paraId="40EC3549" w14:textId="77777777" w:rsidR="00DE5260" w:rsidRPr="00A86C43" w:rsidRDefault="00DE5260" w:rsidP="00DE5260">
      <w:pPr>
        <w:pStyle w:val="BodyText"/>
        <w:rPr>
          <w:rFonts w:ascii="Century Gothic" w:hAnsi="Century Gothic"/>
          <w:b/>
          <w:bCs/>
        </w:rPr>
      </w:pPr>
      <w:r w:rsidRPr="00A86C43">
        <w:rPr>
          <w:rFonts w:ascii="Century Gothic" w:hAnsi="Century Gothic"/>
          <w:b/>
          <w:bCs/>
        </w:rPr>
        <w:t>Work – applications made outside the UK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183"/>
      </w:tblGrid>
      <w:tr w:rsidR="00DE5260" w:rsidRPr="00A86C43" w14:paraId="2C94F3F9" w14:textId="77777777" w:rsidTr="00123F8D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0C5054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Fees category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168C49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Current fee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49E2F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 from 9 April 2025</w:t>
            </w:r>
          </w:p>
        </w:tc>
      </w:tr>
      <w:tr w:rsidR="00DE5260" w:rsidRPr="00A86C43" w14:paraId="22A5C92F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96073E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Skilled worker - 3 years or less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44BDDC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£719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D8717B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£769</w:t>
            </w:r>
          </w:p>
        </w:tc>
      </w:tr>
      <w:tr w:rsidR="00DE5260" w:rsidRPr="00A86C43" w14:paraId="56F490F3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D23D3A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Skilled Worker - over 3 years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27BCE16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£1,420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29E1E1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£1,519</w:t>
            </w:r>
          </w:p>
        </w:tc>
      </w:tr>
      <w:tr w:rsidR="00DE5260" w:rsidRPr="00A86C43" w14:paraId="1CE4D550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F69902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Skilled Worker - job on the Immigration Salary List, 3 years or less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FCBBB6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£551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5E2124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£590</w:t>
            </w:r>
          </w:p>
        </w:tc>
      </w:tr>
      <w:tr w:rsidR="00DE5260" w:rsidRPr="00A86C43" w14:paraId="7D760BD8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1D8208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lastRenderedPageBreak/>
              <w:t>Skilled Worker - job on the Immigration Salary List, over 3 years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B6492F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£1084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C65EE5C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£1160</w:t>
            </w:r>
          </w:p>
        </w:tc>
      </w:tr>
      <w:tr w:rsidR="00DE5260" w:rsidRPr="00A86C43" w14:paraId="6F98B63C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4B1682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Health and Care Visa – 3 years or less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F5CF2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£284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517DD7C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£304</w:t>
            </w:r>
          </w:p>
        </w:tc>
      </w:tr>
      <w:tr w:rsidR="00DE5260" w:rsidRPr="00A86C43" w14:paraId="520C41E7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09413F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Health and Care Visa - over 3 years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BCF6B8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£551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F5C469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£590</w:t>
            </w:r>
          </w:p>
        </w:tc>
      </w:tr>
      <w:tr w:rsidR="00DE5260" w:rsidRPr="00A86C43" w14:paraId="4B2D32A3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B49263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Temporary Work – Seasonal Worker, Religious Worker, Charity Worker, Creative Worker, International Agreement, Government Authorised Exchange and Youth Mobility Scheme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04BEA0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£298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B5D73B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£319</w:t>
            </w:r>
          </w:p>
        </w:tc>
      </w:tr>
      <w:tr w:rsidR="00DE5260" w:rsidRPr="00A86C43" w14:paraId="0523998A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FFC628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Global Business Mobility (GBM) – Senior or Specialist Worker – up to 3 years 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05C50D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£719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096681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£769</w:t>
            </w:r>
          </w:p>
        </w:tc>
      </w:tr>
      <w:tr w:rsidR="00DE5260" w:rsidRPr="00A86C43" w14:paraId="43A7BA79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1C6078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GBM – Senior or Specialist Worker – more than 3 years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51C331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£1420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5E1D4A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£1519</w:t>
            </w:r>
          </w:p>
        </w:tc>
      </w:tr>
      <w:tr w:rsidR="00DE5260" w:rsidRPr="00A86C43" w14:paraId="641E34D2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A9897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GBM – Graduate Trainee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70AE44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£298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7E4806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£319</w:t>
            </w:r>
          </w:p>
        </w:tc>
      </w:tr>
      <w:tr w:rsidR="00DE5260" w:rsidRPr="00A86C43" w14:paraId="6F0D9599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5DD5AD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GBM – Service Supplier 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7F2E24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£298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BE0183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£319</w:t>
            </w:r>
          </w:p>
        </w:tc>
      </w:tr>
      <w:tr w:rsidR="00DE5260" w:rsidRPr="00A86C43" w14:paraId="3C941332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731017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GBM – UK Expansion Worker 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E115DC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£298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B47CD1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£319</w:t>
            </w:r>
          </w:p>
        </w:tc>
      </w:tr>
      <w:tr w:rsidR="00DE5260" w:rsidRPr="00A86C43" w14:paraId="6C9B31A4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7B13A36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GBM – Secondment Worker 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512E35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£298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0A748A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£319</w:t>
            </w:r>
          </w:p>
        </w:tc>
      </w:tr>
      <w:tr w:rsidR="00DE5260" w:rsidRPr="00A86C43" w14:paraId="51C6D673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8CC4DE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Scale-up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0D54AF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£822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1AAD55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£880</w:t>
            </w:r>
          </w:p>
        </w:tc>
      </w:tr>
      <w:tr w:rsidR="00DE5260" w:rsidRPr="00A86C43" w14:paraId="057A0C16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41DD8EF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High Potential Individual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8183CE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£822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4E4B82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£880</w:t>
            </w:r>
          </w:p>
        </w:tc>
      </w:tr>
      <w:tr w:rsidR="00DE5260" w:rsidRPr="00A86C43" w14:paraId="6655911C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362E5FF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Innovator Founder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2C24548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£1191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08CAC78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£1274</w:t>
            </w:r>
          </w:p>
        </w:tc>
      </w:tr>
      <w:tr w:rsidR="00DE5260" w:rsidRPr="00A86C43" w14:paraId="25A9FD61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7BACBDC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Start-up 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2CFA717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£435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1EE0806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£465</w:t>
            </w:r>
          </w:p>
        </w:tc>
      </w:tr>
      <w:tr w:rsidR="00DE5260" w:rsidRPr="00A86C43" w14:paraId="1D6B088C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056A3A8C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lastRenderedPageBreak/>
              <w:t>Global Talent – Approval Letter required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5754CB3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£192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6B04422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£205</w:t>
            </w:r>
          </w:p>
        </w:tc>
      </w:tr>
      <w:tr w:rsidR="00DE5260" w:rsidRPr="00A86C43" w14:paraId="41672772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2E339AD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Global Talent – Approval Letter not required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0CC7AB2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£716</w:t>
            </w:r>
          </w:p>
        </w:tc>
        <w:tc>
          <w:tcPr>
            <w:tcW w:w="2183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62FDE5D6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£766</w:t>
            </w:r>
          </w:p>
        </w:tc>
      </w:tr>
    </w:tbl>
    <w:p w14:paraId="2D611F0D" w14:textId="77777777" w:rsidR="00DE5260" w:rsidRPr="00A86C43" w:rsidRDefault="00DE5260" w:rsidP="00DE5260">
      <w:pPr>
        <w:spacing w:after="300"/>
        <w:outlineLvl w:val="1"/>
        <w:rPr>
          <w:rFonts w:ascii="Century Gothic" w:hAnsi="Century Gothic" w:cs="Arial"/>
          <w:b/>
          <w:bCs/>
          <w:sz w:val="36"/>
          <w:szCs w:val="36"/>
        </w:rPr>
      </w:pPr>
    </w:p>
    <w:p w14:paraId="01F0F903" w14:textId="77777777" w:rsidR="00DE5260" w:rsidRPr="00A86C43" w:rsidRDefault="00DE5260" w:rsidP="00DE5260">
      <w:pPr>
        <w:spacing w:after="300"/>
        <w:outlineLvl w:val="1"/>
        <w:rPr>
          <w:rFonts w:ascii="Century Gothic" w:hAnsi="Century Gothic" w:cs="Arial"/>
          <w:b/>
          <w:bCs/>
          <w:sz w:val="36"/>
          <w:szCs w:val="36"/>
        </w:rPr>
      </w:pPr>
    </w:p>
    <w:p w14:paraId="148D9FEA" w14:textId="77777777" w:rsidR="00DE5260" w:rsidRPr="00A86C43" w:rsidRDefault="00DE5260" w:rsidP="00DE5260">
      <w:pPr>
        <w:pStyle w:val="BodyText"/>
        <w:rPr>
          <w:rFonts w:ascii="Century Gothic" w:hAnsi="Century Gothic"/>
          <w:b/>
          <w:bCs/>
        </w:rPr>
      </w:pPr>
      <w:r w:rsidRPr="00A86C43">
        <w:rPr>
          <w:rFonts w:ascii="Century Gothic" w:hAnsi="Century Gothic"/>
          <w:b/>
          <w:bCs/>
        </w:rPr>
        <w:t>Study – applications made outside the UK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256"/>
      </w:tblGrid>
      <w:tr w:rsidR="00DE5260" w:rsidRPr="00A86C43" w14:paraId="73096EE9" w14:textId="77777777" w:rsidTr="00123F8D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83C93D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Fees category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700D36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Current fee</w:t>
            </w:r>
          </w:p>
        </w:tc>
        <w:tc>
          <w:tcPr>
            <w:tcW w:w="2256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5BA317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 from 9 April 2025</w:t>
            </w:r>
          </w:p>
        </w:tc>
      </w:tr>
      <w:tr w:rsidR="00DE5260" w:rsidRPr="00A86C43" w14:paraId="07F9DC5A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BF0CD1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Student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FF7D8B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£490</w:t>
            </w:r>
          </w:p>
        </w:tc>
        <w:tc>
          <w:tcPr>
            <w:tcW w:w="2256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241F8F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£524</w:t>
            </w:r>
          </w:p>
        </w:tc>
      </w:tr>
      <w:tr w:rsidR="00DE5260" w:rsidRPr="00A86C43" w14:paraId="37C1B167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787256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Child Student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6B225C0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£490</w:t>
            </w:r>
          </w:p>
        </w:tc>
        <w:tc>
          <w:tcPr>
            <w:tcW w:w="2256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B5F07F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£524</w:t>
            </w:r>
          </w:p>
        </w:tc>
      </w:tr>
      <w:tr w:rsidR="00DE5260" w:rsidRPr="00A86C43" w14:paraId="2F8B76D6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CBF7D1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Short term student studying English language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92E5F1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£200</w:t>
            </w:r>
          </w:p>
        </w:tc>
        <w:tc>
          <w:tcPr>
            <w:tcW w:w="2256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303456F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£214</w:t>
            </w:r>
          </w:p>
        </w:tc>
      </w:tr>
    </w:tbl>
    <w:p w14:paraId="145ABC79" w14:textId="77777777" w:rsidR="00DE5260" w:rsidRPr="00A86C43" w:rsidRDefault="00DE5260" w:rsidP="00DE5260">
      <w:pPr>
        <w:rPr>
          <w:rFonts w:ascii="Century Gothic" w:hAnsi="Century Gothic"/>
        </w:rPr>
      </w:pPr>
    </w:p>
    <w:p w14:paraId="77FD386F" w14:textId="77777777" w:rsidR="00DE5260" w:rsidRPr="00A86C43" w:rsidRDefault="00DE5260" w:rsidP="00DE5260">
      <w:pPr>
        <w:rPr>
          <w:rFonts w:ascii="Century Gothic" w:hAnsi="Century Gothic" w:cstheme="minorHAnsi"/>
          <w:b/>
          <w:bCs/>
        </w:rPr>
      </w:pPr>
    </w:p>
    <w:p w14:paraId="486AE94B" w14:textId="77777777" w:rsidR="00DE5260" w:rsidRPr="00A86C43" w:rsidRDefault="00DE5260" w:rsidP="00DE5260">
      <w:pPr>
        <w:rPr>
          <w:rFonts w:ascii="Century Gothic" w:hAnsi="Century Gothic" w:cstheme="minorHAnsi"/>
          <w:b/>
          <w:bCs/>
        </w:rPr>
      </w:pPr>
    </w:p>
    <w:p w14:paraId="4884BC89" w14:textId="77777777" w:rsidR="00DE5260" w:rsidRPr="00A86C43" w:rsidRDefault="00DE5260" w:rsidP="00DE5260">
      <w:pPr>
        <w:rPr>
          <w:rFonts w:ascii="Century Gothic" w:hAnsi="Century Gothic" w:cstheme="minorHAnsi"/>
          <w:b/>
          <w:bCs/>
        </w:rPr>
      </w:pPr>
    </w:p>
    <w:p w14:paraId="2741A8E4" w14:textId="77777777" w:rsidR="00DE5260" w:rsidRPr="00A86C43" w:rsidRDefault="00DE5260" w:rsidP="00DE5260">
      <w:pPr>
        <w:rPr>
          <w:rFonts w:ascii="Century Gothic" w:hAnsi="Century Gothic" w:cstheme="minorHAnsi"/>
          <w:b/>
          <w:bCs/>
        </w:rPr>
      </w:pPr>
      <w:r w:rsidRPr="00A86C43">
        <w:rPr>
          <w:rFonts w:ascii="Century Gothic" w:hAnsi="Century Gothic" w:cstheme="minorHAnsi"/>
          <w:b/>
          <w:bCs/>
        </w:rPr>
        <w:t>Settlement and nationality</w:t>
      </w:r>
    </w:p>
    <w:p w14:paraId="1CF8F37E" w14:textId="77777777" w:rsidR="00DE5260" w:rsidRPr="00A86C43" w:rsidRDefault="00DE5260" w:rsidP="00DE5260">
      <w:pPr>
        <w:rPr>
          <w:rFonts w:ascii="Century Gothic" w:hAnsi="Century Gothic"/>
        </w:rPr>
      </w:pPr>
    </w:p>
    <w:p w14:paraId="15A1F940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</w:rPr>
      </w:pPr>
      <w:r w:rsidRPr="00A86C43">
        <w:rPr>
          <w:rFonts w:ascii="Century Gothic" w:hAnsi="Century Gothic" w:cstheme="minorHAnsi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268"/>
      </w:tblGrid>
      <w:tr w:rsidR="00DE5260" w:rsidRPr="00A86C43" w14:paraId="163C89C1" w14:textId="77777777" w:rsidTr="00123F8D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1E3C2E0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Fees category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9B7CED0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Current fee</w:t>
            </w:r>
          </w:p>
        </w:tc>
        <w:tc>
          <w:tcPr>
            <w:tcW w:w="226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B85C75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 from 9 April 2025</w:t>
            </w:r>
          </w:p>
        </w:tc>
      </w:tr>
      <w:tr w:rsidR="00DE5260" w:rsidRPr="00A86C43" w14:paraId="343DF2B7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2B7D795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Indefinite Leave to Remain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07A502B5" w14:textId="77777777" w:rsidR="00DE5260" w:rsidRPr="00A86C43" w:rsidRDefault="00DE5260" w:rsidP="00123F8D">
            <w:pPr>
              <w:tabs>
                <w:tab w:val="left" w:pos="271"/>
                <w:tab w:val="center" w:pos="771"/>
              </w:tabs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£2885</w:t>
            </w:r>
          </w:p>
        </w:tc>
        <w:tc>
          <w:tcPr>
            <w:tcW w:w="2268" w:type="dxa"/>
            <w:tcMar>
              <w:top w:w="150" w:type="dxa"/>
              <w:left w:w="0" w:type="dxa"/>
              <w:bottom w:w="150" w:type="dxa"/>
              <w:right w:w="300" w:type="dxa"/>
            </w:tcMar>
          </w:tcPr>
          <w:p w14:paraId="6065962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£3029</w:t>
            </w:r>
          </w:p>
        </w:tc>
      </w:tr>
      <w:tr w:rsidR="00DE5260" w:rsidRPr="00A86C43" w14:paraId="4FBA227E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7953830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Naturalisation (British citizenship)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2995DE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£1500</w:t>
            </w:r>
          </w:p>
        </w:tc>
        <w:tc>
          <w:tcPr>
            <w:tcW w:w="226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0B375C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£1605</w:t>
            </w:r>
          </w:p>
        </w:tc>
      </w:tr>
      <w:tr w:rsidR="00DE5260" w:rsidRPr="00A86C43" w14:paraId="57845F0F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2CA156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Naturalisation British overseas territory citizens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DA35A1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£1000</w:t>
            </w:r>
          </w:p>
        </w:tc>
        <w:tc>
          <w:tcPr>
            <w:tcW w:w="226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EC43079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£1070</w:t>
            </w:r>
          </w:p>
        </w:tc>
      </w:tr>
      <w:tr w:rsidR="00DE5260" w:rsidRPr="00A86C43" w14:paraId="73805FAA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C3F98C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lastRenderedPageBreak/>
              <w:t>Nationality registration as a British citizen – adult  </w:t>
            </w:r>
            <w:hyperlink r:id="rId5" w:anchor="fn:5" w:history="1">
              <w:r w:rsidRPr="00A86C43">
                <w:rPr>
                  <w:rFonts w:ascii="Century Gothic" w:hAnsi="Century Gothic" w:cstheme="minorHAnsi"/>
                  <w:sz w:val="21"/>
                  <w:szCs w:val="21"/>
                </w:rPr>
                <w:t>[footnote 5]</w:t>
              </w:r>
            </w:hyperlink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ED47AA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£1351</w:t>
            </w:r>
          </w:p>
        </w:tc>
        <w:tc>
          <w:tcPr>
            <w:tcW w:w="226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871741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£1446</w:t>
            </w:r>
          </w:p>
        </w:tc>
      </w:tr>
      <w:tr w:rsidR="00DE5260" w:rsidRPr="00A86C43" w14:paraId="1D50989D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EE2E28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Nationality registration – British overseas territory citizen, British overseas citizens, British Subjects, British protected persons – adult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11888D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£901</w:t>
            </w:r>
          </w:p>
        </w:tc>
        <w:tc>
          <w:tcPr>
            <w:tcW w:w="2268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546845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£964</w:t>
            </w:r>
          </w:p>
        </w:tc>
      </w:tr>
    </w:tbl>
    <w:p w14:paraId="37FB8030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</w:rPr>
      </w:pPr>
    </w:p>
    <w:p w14:paraId="467175A9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  <w:b/>
          <w:bCs/>
        </w:rPr>
      </w:pPr>
    </w:p>
    <w:p w14:paraId="09BBA9D1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  <w:b/>
          <w:bCs/>
        </w:rPr>
      </w:pPr>
    </w:p>
    <w:p w14:paraId="7F6E6D18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  <w:b/>
          <w:bCs/>
        </w:rPr>
      </w:pPr>
      <w:r w:rsidRPr="00A86C43">
        <w:rPr>
          <w:rFonts w:ascii="Century Gothic" w:hAnsi="Century Gothic" w:cstheme="minorHAnsi"/>
          <w:b/>
          <w:bCs/>
        </w:rPr>
        <w:t>Sponsorship</w:t>
      </w:r>
    </w:p>
    <w:p w14:paraId="4A5C3E6F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185"/>
      </w:tblGrid>
      <w:tr w:rsidR="00DE5260" w:rsidRPr="00A86C43" w14:paraId="1AB42366" w14:textId="77777777" w:rsidTr="00123F8D">
        <w:trPr>
          <w:tblHeader/>
        </w:trPr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4FD406F5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Fees category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1BCEA8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Current fee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9D3BAD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Fee from 9 April 2025</w:t>
            </w:r>
          </w:p>
        </w:tc>
      </w:tr>
      <w:tr w:rsidR="00DE5260" w:rsidRPr="00A86C43" w14:paraId="65EA8BEE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BBED09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 xml:space="preserve">Worker sponsor licence (large </w:t>
            </w:r>
            <w:proofErr w:type="gramStart"/>
            <w:r w:rsidRPr="00A86C43">
              <w:rPr>
                <w:rFonts w:ascii="Century Gothic" w:hAnsi="Century Gothic" w:cstheme="minorHAnsi"/>
                <w:sz w:val="21"/>
                <w:szCs w:val="21"/>
              </w:rPr>
              <w:t>sponsor )</w:t>
            </w:r>
            <w:proofErr w:type="gramEnd"/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325587E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£1,476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64B683C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£1,579</w:t>
            </w:r>
          </w:p>
        </w:tc>
      </w:tr>
      <w:tr w:rsidR="00DE5260" w:rsidRPr="00A86C43" w14:paraId="79C3B577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20703E6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Worker sponsor licence (small sponsor)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22D719D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£536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46C4C9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£574</w:t>
            </w:r>
          </w:p>
        </w:tc>
      </w:tr>
      <w:tr w:rsidR="00DE5260" w:rsidRPr="00A86C43" w14:paraId="38312D38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4158A7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Student sponsor licence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96D06C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£536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6A94E6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£574</w:t>
            </w:r>
          </w:p>
        </w:tc>
      </w:tr>
      <w:tr w:rsidR="00DE5260" w:rsidRPr="00A86C43" w14:paraId="48EA71F8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1A07D7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Temporary Worker sponsor licence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4FAC41C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£536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3421347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£574</w:t>
            </w:r>
          </w:p>
        </w:tc>
      </w:tr>
      <w:tr w:rsidR="00DE5260" w:rsidRPr="00A86C43" w14:paraId="2A8FB4D7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5231594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Certificate of Sponsorship (</w:t>
            </w:r>
            <w:proofErr w:type="spellStart"/>
            <w:r w:rsidRPr="00A86C43">
              <w:rPr>
                <w:rFonts w:ascii="Century Gothic" w:hAnsi="Century Gothic" w:cstheme="minorHAnsi"/>
                <w:sz w:val="21"/>
                <w:szCs w:val="21"/>
              </w:rPr>
              <w:t>CoS</w:t>
            </w:r>
            <w:proofErr w:type="spellEnd"/>
            <w:r w:rsidRPr="00A86C43">
              <w:rPr>
                <w:rFonts w:ascii="Century Gothic" w:hAnsi="Century Gothic" w:cstheme="minorHAnsi"/>
                <w:sz w:val="21"/>
                <w:szCs w:val="21"/>
              </w:rPr>
              <w:t>) Skilled Worker, GBM Senior or Specialist Worker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DFFAA7B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£239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43BF0C0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£525</w:t>
            </w:r>
          </w:p>
        </w:tc>
      </w:tr>
      <w:tr w:rsidR="00DE5260" w:rsidRPr="00A86C43" w14:paraId="64563351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661973B2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Certificate of Sponsorship (</w:t>
            </w:r>
            <w:proofErr w:type="spellStart"/>
            <w:r w:rsidRPr="00A86C43">
              <w:rPr>
                <w:rFonts w:ascii="Century Gothic" w:hAnsi="Century Gothic" w:cstheme="minorHAnsi"/>
                <w:sz w:val="21"/>
                <w:szCs w:val="21"/>
              </w:rPr>
              <w:t>CoS</w:t>
            </w:r>
            <w:proofErr w:type="spellEnd"/>
            <w:r w:rsidRPr="00A86C43">
              <w:rPr>
                <w:rFonts w:ascii="Century Gothic" w:hAnsi="Century Gothic" w:cstheme="minorHAnsi"/>
                <w:sz w:val="21"/>
                <w:szCs w:val="21"/>
              </w:rPr>
              <w:t>) Temporary Worker including Global Business Mobility – Graduate Trainee, UK Expansion Worker, Service Supplier and Secondment Worker route, and Scale-up route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79785A76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£25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1933692A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£55</w:t>
            </w:r>
          </w:p>
        </w:tc>
      </w:tr>
      <w:tr w:rsidR="00DE5260" w:rsidRPr="00A86C43" w14:paraId="0B371BF0" w14:textId="77777777" w:rsidTr="00123F8D">
        <w:tc>
          <w:tcPr>
            <w:tcW w:w="4957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59FB9A11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Confirmation of Acceptance for Study (CAS) for student, child student</w:t>
            </w:r>
          </w:p>
        </w:tc>
        <w:tc>
          <w:tcPr>
            <w:tcW w:w="1842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245270BE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£25</w:t>
            </w:r>
          </w:p>
        </w:tc>
        <w:tc>
          <w:tcPr>
            <w:tcW w:w="2185" w:type="dxa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14:paraId="09BBF873" w14:textId="77777777" w:rsidR="00DE5260" w:rsidRPr="00A86C43" w:rsidRDefault="00DE5260" w:rsidP="00123F8D">
            <w:pPr>
              <w:spacing w:after="120"/>
              <w:rPr>
                <w:rFonts w:ascii="Century Gothic" w:hAnsi="Century Gothic" w:cstheme="minorHAnsi"/>
                <w:sz w:val="21"/>
                <w:szCs w:val="21"/>
              </w:rPr>
            </w:pPr>
            <w:r w:rsidRPr="00A86C43">
              <w:rPr>
                <w:rFonts w:ascii="Century Gothic" w:hAnsi="Century Gothic" w:cstheme="minorHAnsi"/>
                <w:sz w:val="21"/>
                <w:szCs w:val="21"/>
              </w:rPr>
              <w:t>£55</w:t>
            </w:r>
          </w:p>
        </w:tc>
      </w:tr>
    </w:tbl>
    <w:p w14:paraId="5C377697" w14:textId="77777777" w:rsidR="00DE5260" w:rsidRPr="00A86C43" w:rsidRDefault="00DE5260" w:rsidP="00DE5260">
      <w:pPr>
        <w:pStyle w:val="NormalWeb"/>
        <w:rPr>
          <w:rFonts w:ascii="Century Gothic" w:hAnsi="Century Gothic" w:cstheme="minorHAnsi"/>
        </w:rPr>
      </w:pPr>
    </w:p>
    <w:p w14:paraId="7DD6DA96" w14:textId="77777777" w:rsidR="00ED284F" w:rsidRDefault="00ED284F"/>
    <w:sectPr w:rsidR="00ED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60"/>
    <w:rsid w:val="001B3D78"/>
    <w:rsid w:val="004819A4"/>
    <w:rsid w:val="005F1D68"/>
    <w:rsid w:val="008B07A9"/>
    <w:rsid w:val="00A1063D"/>
    <w:rsid w:val="00BF5658"/>
    <w:rsid w:val="00DE5260"/>
    <w:rsid w:val="00EA62BD"/>
    <w:rsid w:val="00E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F116"/>
  <w15:chartTrackingRefBased/>
  <w15:docId w15:val="{16C79EE7-690A-4300-8D71-FFFEE011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60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2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2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2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2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2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2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2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2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2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2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2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2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2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DE5260"/>
  </w:style>
  <w:style w:type="paragraph" w:styleId="BodyText">
    <w:name w:val="Body Text"/>
    <w:basedOn w:val="Normal"/>
    <w:link w:val="BodyTextChar"/>
    <w:uiPriority w:val="1"/>
    <w:qFormat/>
    <w:rsid w:val="00DE5260"/>
    <w:pPr>
      <w:widowControl w:val="0"/>
      <w:autoSpaceDE w:val="0"/>
      <w:autoSpaceDN w:val="0"/>
      <w:spacing w:before="100" w:beforeAutospacing="1" w:after="100" w:afterAutospacing="1"/>
    </w:pPr>
    <w:rPr>
      <w:rFonts w:ascii="Calibri" w:eastAsia="Calibri" w:hAnsi="Calibri" w:cs="Calibri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5260"/>
    <w:rPr>
      <w:rFonts w:ascii="Calibri" w:eastAsia="Calibri" w:hAnsi="Calibri" w:cs="Calibri"/>
      <w:kern w:val="0"/>
      <w:szCs w:val="19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E52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ublications/visa-regulations-revised-table/home-office-immigration-and-nationality-fees-9-april-2025" TargetMode="External"/><Relationship Id="rId4" Type="http://schemas.openxmlformats.org/officeDocument/2006/relationships/hyperlink" Target="https://www.gov.uk/government/publications/visa-regulations-revised-table/home-office-immigration-and-nationality-fees-9-april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Sartalis</dc:creator>
  <cp:keywords/>
  <dc:description/>
  <cp:lastModifiedBy>Jessica Sartalis</cp:lastModifiedBy>
  <cp:revision>1</cp:revision>
  <dcterms:created xsi:type="dcterms:W3CDTF">2025-03-28T13:29:00Z</dcterms:created>
  <dcterms:modified xsi:type="dcterms:W3CDTF">2025-03-28T13:30:00Z</dcterms:modified>
</cp:coreProperties>
</file>